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78" w:rsidRDefault="00C84FD6" w:rsidP="002A5651">
      <w:pPr>
        <w:spacing w:afterLines="100" w:line="360" w:lineRule="auto"/>
        <w:jc w:val="center"/>
        <w:rPr>
          <w:rFonts w:ascii="黑体" w:eastAsia="黑体"/>
          <w:sz w:val="28"/>
          <w:szCs w:val="28"/>
        </w:rPr>
      </w:pPr>
      <w:r>
        <w:rPr>
          <w:rFonts w:ascii="黑体" w:eastAsia="黑体" w:hint="eastAsia"/>
          <w:sz w:val="28"/>
          <w:szCs w:val="28"/>
        </w:rPr>
        <w:t>药学院硕士生复试方案</w:t>
      </w:r>
    </w:p>
    <w:p w:rsidR="00C84FD6" w:rsidRPr="00C84FD6" w:rsidRDefault="00C84FD6" w:rsidP="00C84FD6">
      <w:pPr>
        <w:pStyle w:val="a3"/>
        <w:spacing w:line="360" w:lineRule="auto"/>
        <w:jc w:val="left"/>
        <w:rPr>
          <w:rFonts w:cs="宋体"/>
          <w:b/>
          <w:sz w:val="24"/>
          <w:szCs w:val="24"/>
        </w:rPr>
      </w:pPr>
      <w:r w:rsidRPr="00C84FD6">
        <w:rPr>
          <w:rFonts w:cs="宋体" w:hint="eastAsia"/>
          <w:b/>
          <w:sz w:val="24"/>
          <w:szCs w:val="24"/>
        </w:rPr>
        <w:t>复试录取原则</w:t>
      </w:r>
    </w:p>
    <w:p w:rsidR="00036078" w:rsidRPr="00C84FD6" w:rsidRDefault="00C84FD6">
      <w:pPr>
        <w:pStyle w:val="a3"/>
        <w:spacing w:line="360" w:lineRule="auto"/>
        <w:ind w:firstLineChars="200" w:firstLine="480"/>
        <w:rPr>
          <w:rFonts w:cs="宋体"/>
          <w:sz w:val="24"/>
          <w:szCs w:val="24"/>
        </w:rPr>
      </w:pPr>
      <w:r w:rsidRPr="00C84FD6">
        <w:rPr>
          <w:rFonts w:cs="宋体"/>
          <w:sz w:val="24"/>
          <w:szCs w:val="24"/>
        </w:rPr>
        <w:t>学生进入复试后，按照复试方案进行复试</w:t>
      </w:r>
      <w:r w:rsidRPr="00C84FD6">
        <w:rPr>
          <w:rFonts w:cs="宋体" w:hint="eastAsia"/>
          <w:sz w:val="24"/>
          <w:szCs w:val="24"/>
        </w:rPr>
        <w:t>，</w:t>
      </w:r>
      <w:r w:rsidRPr="00C84FD6">
        <w:rPr>
          <w:rFonts w:cs="宋体"/>
          <w:sz w:val="24"/>
          <w:szCs w:val="24"/>
        </w:rPr>
        <w:t>复试时遵循以下原则：</w:t>
      </w:r>
    </w:p>
    <w:p w:rsidR="00036078" w:rsidRPr="00C84FD6" w:rsidRDefault="00C84FD6">
      <w:pPr>
        <w:pStyle w:val="a3"/>
        <w:spacing w:line="360" w:lineRule="auto"/>
        <w:ind w:firstLineChars="200" w:firstLine="480"/>
        <w:rPr>
          <w:rFonts w:cs="宋体"/>
          <w:sz w:val="24"/>
          <w:szCs w:val="24"/>
        </w:rPr>
      </w:pPr>
      <w:r w:rsidRPr="00C84FD6">
        <w:rPr>
          <w:rFonts w:hint="eastAsia"/>
          <w:sz w:val="24"/>
          <w:szCs w:val="24"/>
        </w:rPr>
        <w:t>（</w:t>
      </w:r>
      <w:r w:rsidRPr="00C84FD6">
        <w:rPr>
          <w:sz w:val="24"/>
          <w:szCs w:val="24"/>
        </w:rPr>
        <w:t>1</w:t>
      </w:r>
      <w:r w:rsidRPr="00C84FD6">
        <w:rPr>
          <w:rFonts w:hint="eastAsia"/>
          <w:sz w:val="24"/>
          <w:szCs w:val="24"/>
        </w:rPr>
        <w:t>）“首志愿”复试原则。“</w:t>
      </w:r>
      <w:r w:rsidRPr="00C84FD6">
        <w:rPr>
          <w:rFonts w:cs="宋体" w:hint="eastAsia"/>
          <w:sz w:val="24"/>
          <w:szCs w:val="24"/>
        </w:rPr>
        <w:t>首志愿”为考生参加复试的最初志愿，包括学科、专业、类型、方向等内容，这些信息须与初试报名信息，以及部分考生</w:t>
      </w:r>
      <w:r w:rsidRPr="00C84FD6">
        <w:rPr>
          <w:rFonts w:cs="宋体"/>
          <w:sz w:val="24"/>
          <w:szCs w:val="24"/>
        </w:rPr>
        <w:t>复试时进一步</w:t>
      </w:r>
      <w:r w:rsidRPr="00C84FD6">
        <w:rPr>
          <w:rFonts w:cs="宋体" w:hint="eastAsia"/>
          <w:sz w:val="24"/>
          <w:szCs w:val="24"/>
        </w:rPr>
        <w:t>填报的志愿信息完全一致。考生须完全按照“首志愿”参加复试，首轮复试结束前考生志愿不得随意变动。</w:t>
      </w:r>
    </w:p>
    <w:p w:rsidR="00036078" w:rsidRPr="00C84FD6" w:rsidRDefault="00C84FD6">
      <w:pPr>
        <w:pStyle w:val="a7"/>
        <w:spacing w:before="0" w:beforeAutospacing="0" w:after="0" w:afterAutospacing="0" w:line="360" w:lineRule="auto"/>
        <w:ind w:firstLineChars="200" w:firstLine="480"/>
        <w:rPr>
          <w:rFonts w:cs="宋体"/>
          <w:szCs w:val="24"/>
        </w:rPr>
      </w:pPr>
      <w:r w:rsidRPr="00C84FD6">
        <w:rPr>
          <w:rFonts w:cs="Courier New" w:hint="eastAsia"/>
        </w:rPr>
        <w:t>（</w:t>
      </w:r>
      <w:r w:rsidRPr="00C84FD6">
        <w:rPr>
          <w:rFonts w:cs="Courier New"/>
        </w:rPr>
        <w:t>2</w:t>
      </w:r>
      <w:r w:rsidRPr="00C84FD6">
        <w:rPr>
          <w:rFonts w:cs="Courier New" w:hint="eastAsia"/>
        </w:rPr>
        <w:t>）学术型研究生与专业型研究生分别排名原则。</w:t>
      </w:r>
      <w:r w:rsidRPr="00C84FD6">
        <w:rPr>
          <w:rFonts w:cs="宋体" w:hint="eastAsia"/>
          <w:szCs w:val="24"/>
        </w:rPr>
        <w:t>学术型研究生与专业型研究生要按照“首志愿”分别参加复试，分别按照录取成绩从高分到低分排名录取。</w:t>
      </w:r>
    </w:p>
    <w:p w:rsidR="00036078" w:rsidRPr="00C84FD6" w:rsidRDefault="00C84FD6" w:rsidP="00C84FD6">
      <w:pPr>
        <w:pStyle w:val="a7"/>
        <w:spacing w:before="0" w:beforeAutospacing="0" w:after="0" w:afterAutospacing="0" w:line="360" w:lineRule="auto"/>
        <w:ind w:firstLineChars="200" w:firstLine="480"/>
        <w:rPr>
          <w:rFonts w:cs="宋体"/>
          <w:szCs w:val="24"/>
        </w:rPr>
      </w:pPr>
      <w:r w:rsidRPr="00C84FD6">
        <w:rPr>
          <w:rFonts w:cs="Courier New" w:hint="eastAsia"/>
        </w:rPr>
        <w:t>（</w:t>
      </w:r>
      <w:r w:rsidRPr="00C84FD6">
        <w:rPr>
          <w:rFonts w:cs="Courier New"/>
        </w:rPr>
        <w:t>3</w:t>
      </w:r>
      <w:r w:rsidRPr="00C84FD6">
        <w:rPr>
          <w:rFonts w:cs="Courier New" w:hint="eastAsia"/>
        </w:rPr>
        <w:t>）全日制考生与非全日制考生分别排名原则。</w:t>
      </w:r>
      <w:r w:rsidRPr="00C84FD6">
        <w:rPr>
          <w:rFonts w:cs="宋体" w:hint="eastAsia"/>
          <w:szCs w:val="24"/>
        </w:rPr>
        <w:t>全日制考生与非全日制考生要按照“首志愿”分别参加复试，分别按照录取成绩从高分到低分排名录取。</w:t>
      </w:r>
    </w:p>
    <w:p w:rsidR="00C84FD6" w:rsidRPr="00C84FD6" w:rsidRDefault="00C84FD6" w:rsidP="00C84FD6">
      <w:pPr>
        <w:pStyle w:val="a7"/>
        <w:spacing w:before="0" w:beforeAutospacing="0" w:after="0" w:afterAutospacing="0" w:line="360" w:lineRule="auto"/>
        <w:ind w:firstLineChars="200" w:firstLine="480"/>
        <w:rPr>
          <w:szCs w:val="24"/>
        </w:rPr>
      </w:pPr>
      <w:r w:rsidRPr="00C84FD6">
        <w:rPr>
          <w:rFonts w:hAnsi="宋体" w:hint="eastAsia"/>
        </w:rPr>
        <w:t>（4）复试录取政策可能会根据报考情况和学校政策进行调整。如有调整，以复试前发布的最新通知为准。</w:t>
      </w:r>
      <w:bookmarkStart w:id="0" w:name="_GoBack"/>
      <w:bookmarkEnd w:id="0"/>
    </w:p>
    <w:p w:rsidR="00036078" w:rsidRPr="00C84FD6" w:rsidRDefault="00C84FD6" w:rsidP="002A5651">
      <w:pPr>
        <w:pStyle w:val="a3"/>
        <w:spacing w:afterLines="50" w:line="360" w:lineRule="auto"/>
        <w:jc w:val="left"/>
        <w:rPr>
          <w:b/>
          <w:sz w:val="24"/>
          <w:szCs w:val="24"/>
        </w:rPr>
      </w:pPr>
      <w:r w:rsidRPr="00C84FD6">
        <w:rPr>
          <w:rFonts w:cs="宋体" w:hint="eastAsia"/>
          <w:b/>
          <w:sz w:val="24"/>
          <w:szCs w:val="24"/>
        </w:rPr>
        <w:t>学术型</w:t>
      </w:r>
    </w:p>
    <w:p w:rsidR="00036078" w:rsidRDefault="00C84FD6">
      <w:pPr>
        <w:spacing w:line="360" w:lineRule="auto"/>
        <w:rPr>
          <w:rFonts w:ascii="宋体" w:eastAsia="宋体"/>
          <w:b/>
          <w:sz w:val="24"/>
        </w:rPr>
      </w:pPr>
      <w:r>
        <w:rPr>
          <w:rFonts w:ascii="宋体" w:eastAsia="宋体" w:hint="eastAsia"/>
          <w:b/>
          <w:sz w:val="24"/>
        </w:rPr>
        <w:t>1.复试方式</w:t>
      </w:r>
    </w:p>
    <w:p w:rsidR="00036078" w:rsidRDefault="00C84FD6">
      <w:pPr>
        <w:spacing w:line="360" w:lineRule="auto"/>
        <w:rPr>
          <w:rFonts w:ascii="宋体" w:eastAsia="宋体"/>
          <w:sz w:val="24"/>
        </w:rPr>
      </w:pPr>
      <w:r>
        <w:rPr>
          <w:rFonts w:ascii="宋体" w:eastAsia="宋体" w:hint="eastAsia"/>
          <w:sz w:val="24"/>
        </w:rPr>
        <w:t xml:space="preserve">　　复试包括专业课笔试、实验技能测试及综合素质面试三部分，重点考查学生的专业基础知识和实验综合能力。笔试时间2小时，满分100分；实验技能测试成绩满分100分；综合素质面试成绩满分100分。</w:t>
      </w:r>
    </w:p>
    <w:p w:rsidR="00036078" w:rsidRDefault="00C84FD6">
      <w:pPr>
        <w:spacing w:line="360" w:lineRule="auto"/>
        <w:rPr>
          <w:rFonts w:ascii="宋体" w:eastAsia="宋体"/>
          <w:sz w:val="24"/>
        </w:rPr>
      </w:pPr>
      <w:r>
        <w:rPr>
          <w:rFonts w:ascii="宋体" w:eastAsia="宋体" w:hint="eastAsia"/>
          <w:sz w:val="24"/>
        </w:rPr>
        <w:t xml:space="preserve">　　复试成绩=（笔试成绩×40%＋面试成绩×30%＋实验技能测试×30%）×95%＋外语听力及口语测试成绩。</w:t>
      </w:r>
    </w:p>
    <w:p w:rsidR="00036078" w:rsidRDefault="00C84FD6">
      <w:pPr>
        <w:spacing w:line="360" w:lineRule="auto"/>
        <w:ind w:firstLine="479"/>
        <w:rPr>
          <w:rFonts w:ascii="宋体" w:eastAsia="宋体"/>
          <w:b/>
          <w:sz w:val="24"/>
        </w:rPr>
      </w:pPr>
      <w:r>
        <w:rPr>
          <w:rFonts w:ascii="宋体" w:eastAsia="宋体" w:hint="eastAsia"/>
          <w:sz w:val="24"/>
        </w:rPr>
        <w:t>复试成绩必须达到60分及格线，方能获得录取资格。</w:t>
      </w:r>
    </w:p>
    <w:p w:rsidR="00036078" w:rsidRDefault="00C84FD6">
      <w:pPr>
        <w:spacing w:line="360" w:lineRule="auto"/>
        <w:rPr>
          <w:rFonts w:ascii="宋体" w:eastAsia="宋体"/>
          <w:sz w:val="24"/>
        </w:rPr>
      </w:pPr>
      <w:r>
        <w:rPr>
          <w:rFonts w:ascii="宋体" w:eastAsia="宋体" w:hint="eastAsia"/>
          <w:b/>
          <w:sz w:val="24"/>
        </w:rPr>
        <w:t>2.复试笔试科目</w:t>
      </w:r>
    </w:p>
    <w:p w:rsidR="00036078" w:rsidRDefault="00C84FD6">
      <w:pPr>
        <w:spacing w:line="360" w:lineRule="auto"/>
        <w:rPr>
          <w:rFonts w:ascii="宋体" w:eastAsia="宋体"/>
          <w:sz w:val="24"/>
        </w:rPr>
      </w:pPr>
      <w:r>
        <w:rPr>
          <w:rFonts w:ascii="宋体" w:eastAsia="宋体" w:hint="eastAsia"/>
          <w:sz w:val="24"/>
        </w:rPr>
        <w:t xml:space="preserve">　　药物化学专业：药物化学</w:t>
      </w:r>
    </w:p>
    <w:p w:rsidR="00036078" w:rsidRDefault="00C84FD6">
      <w:pPr>
        <w:spacing w:line="360" w:lineRule="auto"/>
        <w:rPr>
          <w:rFonts w:ascii="宋体" w:eastAsia="宋体"/>
          <w:sz w:val="24"/>
        </w:rPr>
      </w:pPr>
      <w:r>
        <w:rPr>
          <w:rFonts w:ascii="宋体" w:eastAsia="宋体" w:hint="eastAsia"/>
          <w:sz w:val="24"/>
        </w:rPr>
        <w:t xml:space="preserve">　　药剂学专业：药剂学（含生物药剂学及药物动力学）</w:t>
      </w:r>
    </w:p>
    <w:p w:rsidR="00036078" w:rsidRDefault="00C84FD6">
      <w:pPr>
        <w:spacing w:line="360" w:lineRule="auto"/>
        <w:rPr>
          <w:rFonts w:ascii="宋体" w:eastAsia="宋体"/>
          <w:sz w:val="24"/>
        </w:rPr>
      </w:pPr>
      <w:r>
        <w:rPr>
          <w:rFonts w:ascii="宋体" w:eastAsia="宋体" w:hint="eastAsia"/>
          <w:sz w:val="24"/>
        </w:rPr>
        <w:t xml:space="preserve">　　生药学专业：生药学</w:t>
      </w:r>
    </w:p>
    <w:p w:rsidR="00036078" w:rsidRDefault="00C84FD6">
      <w:pPr>
        <w:spacing w:line="360" w:lineRule="auto"/>
        <w:rPr>
          <w:rFonts w:ascii="宋体" w:eastAsia="宋体"/>
          <w:sz w:val="24"/>
        </w:rPr>
      </w:pPr>
      <w:r>
        <w:rPr>
          <w:rFonts w:ascii="宋体" w:eastAsia="宋体" w:hint="eastAsia"/>
          <w:sz w:val="24"/>
        </w:rPr>
        <w:t xml:space="preserve">　　药物分析学专业：药物分析</w:t>
      </w:r>
    </w:p>
    <w:p w:rsidR="00036078" w:rsidRDefault="00C84FD6">
      <w:pPr>
        <w:spacing w:line="360" w:lineRule="auto"/>
        <w:rPr>
          <w:rFonts w:ascii="宋体" w:eastAsia="宋体"/>
          <w:sz w:val="24"/>
        </w:rPr>
      </w:pPr>
      <w:r>
        <w:rPr>
          <w:rFonts w:ascii="宋体" w:eastAsia="宋体" w:hint="eastAsia"/>
          <w:sz w:val="24"/>
        </w:rPr>
        <w:t xml:space="preserve">　　微生物与生化药学专业：生物技术制药</w:t>
      </w:r>
    </w:p>
    <w:p w:rsidR="00036078" w:rsidRDefault="00C84FD6">
      <w:pPr>
        <w:spacing w:line="360" w:lineRule="auto"/>
        <w:rPr>
          <w:rFonts w:ascii="宋体" w:eastAsia="宋体"/>
          <w:sz w:val="24"/>
        </w:rPr>
      </w:pPr>
      <w:r>
        <w:rPr>
          <w:rFonts w:ascii="宋体" w:eastAsia="宋体" w:hint="eastAsia"/>
          <w:sz w:val="24"/>
        </w:rPr>
        <w:lastRenderedPageBreak/>
        <w:t xml:space="preserve">　　药理学专业：药理学</w:t>
      </w:r>
    </w:p>
    <w:p w:rsidR="00036078" w:rsidRDefault="00C84FD6">
      <w:pPr>
        <w:spacing w:line="360" w:lineRule="auto"/>
        <w:rPr>
          <w:rFonts w:ascii="宋体" w:eastAsia="宋体"/>
          <w:sz w:val="24"/>
        </w:rPr>
      </w:pPr>
      <w:r>
        <w:rPr>
          <w:rFonts w:ascii="宋体" w:eastAsia="宋体" w:hint="eastAsia"/>
          <w:sz w:val="24"/>
        </w:rPr>
        <w:t xml:space="preserve">　　天然药物化学专业：天然药物化学</w:t>
      </w:r>
    </w:p>
    <w:p w:rsidR="00036078" w:rsidRDefault="00C84FD6">
      <w:pPr>
        <w:spacing w:line="360" w:lineRule="auto"/>
        <w:rPr>
          <w:rFonts w:ascii="宋体" w:eastAsia="宋体"/>
          <w:sz w:val="24"/>
        </w:rPr>
      </w:pPr>
      <w:r>
        <w:rPr>
          <w:rFonts w:ascii="宋体" w:eastAsia="宋体" w:hint="eastAsia"/>
          <w:sz w:val="24"/>
        </w:rPr>
        <w:t xml:space="preserve">　　制药工程学专业：工业药物分析</w:t>
      </w:r>
    </w:p>
    <w:p w:rsidR="00036078" w:rsidRDefault="00C84FD6">
      <w:pPr>
        <w:spacing w:line="360" w:lineRule="auto"/>
        <w:rPr>
          <w:rFonts w:ascii="宋体" w:eastAsia="宋体"/>
          <w:sz w:val="24"/>
        </w:rPr>
      </w:pPr>
      <w:r>
        <w:rPr>
          <w:rFonts w:ascii="宋体" w:eastAsia="宋体" w:hint="eastAsia"/>
          <w:sz w:val="24"/>
        </w:rPr>
        <w:t xml:space="preserve">　　临床药学专业：药理学（要求同药理学专业）</w:t>
      </w:r>
    </w:p>
    <w:p w:rsidR="00036078" w:rsidRDefault="00C84FD6">
      <w:pPr>
        <w:spacing w:line="360" w:lineRule="auto"/>
        <w:ind w:firstLine="465"/>
        <w:rPr>
          <w:rFonts w:ascii="宋体" w:eastAsia="宋体"/>
          <w:sz w:val="24"/>
        </w:rPr>
      </w:pPr>
      <w:r>
        <w:rPr>
          <w:rFonts w:ascii="宋体" w:eastAsia="宋体" w:hint="eastAsia"/>
          <w:sz w:val="24"/>
        </w:rPr>
        <w:t>免疫药物学专业：医学免疫学</w:t>
      </w:r>
    </w:p>
    <w:p w:rsidR="00036078" w:rsidRDefault="00C84FD6">
      <w:pPr>
        <w:spacing w:line="360" w:lineRule="auto"/>
        <w:rPr>
          <w:rFonts w:ascii="宋体" w:eastAsia="宋体"/>
          <w:b/>
          <w:sz w:val="24"/>
        </w:rPr>
      </w:pPr>
      <w:r>
        <w:rPr>
          <w:rFonts w:ascii="宋体" w:eastAsia="宋体" w:hint="eastAsia"/>
          <w:b/>
          <w:sz w:val="24"/>
        </w:rPr>
        <w:t>3.面试内容</w:t>
      </w:r>
    </w:p>
    <w:p w:rsidR="00036078" w:rsidRDefault="00C84FD6">
      <w:pPr>
        <w:spacing w:line="360" w:lineRule="auto"/>
        <w:rPr>
          <w:rFonts w:ascii="宋体" w:eastAsia="宋体"/>
          <w:sz w:val="24"/>
        </w:rPr>
      </w:pPr>
      <w:r>
        <w:rPr>
          <w:rFonts w:ascii="宋体" w:eastAsia="宋体" w:hint="eastAsia"/>
          <w:sz w:val="24"/>
        </w:rPr>
        <w:t xml:space="preserve">　　综合素质面试内容由各专业复试小组根据各专业特点自行确定，面试包括外语口语应用能力的考核。面试内容与笔试内容侧重面有所不同。</w:t>
      </w:r>
    </w:p>
    <w:p w:rsidR="00036078" w:rsidRDefault="00C84FD6">
      <w:pPr>
        <w:spacing w:line="360" w:lineRule="auto"/>
        <w:rPr>
          <w:rFonts w:ascii="宋体" w:eastAsia="宋体"/>
          <w:b/>
          <w:sz w:val="24"/>
        </w:rPr>
      </w:pPr>
      <w:r>
        <w:rPr>
          <w:rFonts w:ascii="宋体" w:eastAsia="宋体" w:hint="eastAsia"/>
          <w:b/>
          <w:sz w:val="24"/>
        </w:rPr>
        <w:t>4.实验技能测试</w:t>
      </w:r>
    </w:p>
    <w:p w:rsidR="00036078" w:rsidRDefault="00C84FD6">
      <w:pPr>
        <w:spacing w:line="360" w:lineRule="auto"/>
        <w:ind w:firstLine="479"/>
        <w:rPr>
          <w:rFonts w:ascii="宋体" w:eastAsia="宋体"/>
          <w:b/>
          <w:sz w:val="24"/>
        </w:rPr>
      </w:pPr>
      <w:r>
        <w:rPr>
          <w:rFonts w:ascii="宋体" w:eastAsia="宋体" w:hint="eastAsia"/>
          <w:sz w:val="24"/>
        </w:rPr>
        <w:t>实验技能测试由各专业复试小组根据各自专业特点确定考试内容及方式（可以包括笔试和实验操作等环节），重点考核考生的实验设计和实验基本操作能力。</w:t>
      </w:r>
    </w:p>
    <w:p w:rsidR="00036078" w:rsidRDefault="00C84FD6">
      <w:pPr>
        <w:spacing w:line="360" w:lineRule="auto"/>
        <w:rPr>
          <w:rFonts w:ascii="宋体" w:eastAsia="宋体"/>
          <w:b/>
          <w:sz w:val="24"/>
        </w:rPr>
      </w:pPr>
      <w:r>
        <w:rPr>
          <w:rFonts w:ascii="宋体" w:eastAsia="宋体" w:hint="eastAsia"/>
          <w:b/>
          <w:sz w:val="24"/>
        </w:rPr>
        <w:t>5.拟录取排名方法</w:t>
      </w:r>
    </w:p>
    <w:p w:rsidR="00036078" w:rsidRDefault="00C84FD6">
      <w:pPr>
        <w:spacing w:line="360" w:lineRule="auto"/>
        <w:ind w:firstLine="465"/>
        <w:rPr>
          <w:rFonts w:ascii="宋体" w:eastAsia="宋体"/>
          <w:sz w:val="24"/>
        </w:rPr>
      </w:pPr>
      <w:r>
        <w:rPr>
          <w:rFonts w:ascii="宋体" w:eastAsia="宋体" w:hint="eastAsia"/>
          <w:sz w:val="24"/>
        </w:rPr>
        <w:t>各专业成立复试小组进行复试，首志愿考生，按录取成绩从高到低排名录取。录取成绩=初试成绩÷5×50%＋复试成绩×50%；</w:t>
      </w:r>
    </w:p>
    <w:p w:rsidR="00036078" w:rsidRDefault="00C84FD6">
      <w:pPr>
        <w:spacing w:line="360" w:lineRule="auto"/>
        <w:rPr>
          <w:rFonts w:ascii="宋体" w:eastAsia="宋体"/>
          <w:b/>
          <w:sz w:val="24"/>
        </w:rPr>
      </w:pPr>
      <w:r>
        <w:rPr>
          <w:rFonts w:ascii="宋体" w:eastAsia="宋体" w:hint="eastAsia"/>
          <w:b/>
          <w:sz w:val="24"/>
        </w:rPr>
        <w:t>6.复试笔试科目及加试科目参考书目</w:t>
      </w:r>
    </w:p>
    <w:p w:rsidR="00036078" w:rsidRDefault="00C84FD6">
      <w:pPr>
        <w:spacing w:line="360" w:lineRule="auto"/>
        <w:ind w:firstLine="465"/>
        <w:rPr>
          <w:rFonts w:ascii="宋体" w:eastAsia="宋体"/>
          <w:sz w:val="24"/>
        </w:rPr>
      </w:pPr>
      <w:r>
        <w:rPr>
          <w:rFonts w:ascii="宋体" w:eastAsia="宋体" w:hint="eastAsia"/>
          <w:sz w:val="24"/>
        </w:rPr>
        <w:t>《药物化学》（第八版），</w:t>
      </w:r>
      <w:proofErr w:type="gramStart"/>
      <w:r>
        <w:rPr>
          <w:rFonts w:ascii="宋体" w:eastAsia="宋体" w:hint="eastAsia"/>
          <w:sz w:val="24"/>
        </w:rPr>
        <w:t>尤启冬主编</w:t>
      </w:r>
      <w:proofErr w:type="gramEnd"/>
      <w:r>
        <w:rPr>
          <w:rFonts w:ascii="宋体" w:eastAsia="宋体" w:hint="eastAsia"/>
          <w:sz w:val="24"/>
        </w:rPr>
        <w:t>，人民卫生出版社。</w:t>
      </w:r>
    </w:p>
    <w:p w:rsidR="00036078" w:rsidRDefault="00C84FD6">
      <w:pPr>
        <w:spacing w:line="360" w:lineRule="auto"/>
        <w:ind w:firstLine="465"/>
        <w:rPr>
          <w:rFonts w:ascii="宋体" w:eastAsia="宋体"/>
          <w:sz w:val="24"/>
        </w:rPr>
      </w:pPr>
      <w:r>
        <w:rPr>
          <w:rFonts w:ascii="宋体" w:eastAsia="宋体" w:hint="eastAsia"/>
          <w:sz w:val="24"/>
        </w:rPr>
        <w:t>《天然药物化学》（第七版），裴月湖、娄红祥主编，人民卫生出版社。</w:t>
      </w:r>
    </w:p>
    <w:p w:rsidR="00036078" w:rsidRDefault="00C84FD6">
      <w:pPr>
        <w:spacing w:line="360" w:lineRule="auto"/>
        <w:ind w:firstLine="465"/>
        <w:rPr>
          <w:rFonts w:ascii="宋体" w:eastAsia="宋体"/>
          <w:sz w:val="24"/>
        </w:rPr>
      </w:pPr>
      <w:r>
        <w:rPr>
          <w:rFonts w:ascii="宋体" w:eastAsia="宋体" w:hint="eastAsia"/>
          <w:sz w:val="24"/>
        </w:rPr>
        <w:t>《药剂学》，（第八版），</w:t>
      </w:r>
      <w:proofErr w:type="gramStart"/>
      <w:r>
        <w:rPr>
          <w:rFonts w:ascii="宋体" w:eastAsia="宋体" w:hint="eastAsia"/>
          <w:sz w:val="24"/>
        </w:rPr>
        <w:t>方亮主编</w:t>
      </w:r>
      <w:proofErr w:type="gramEnd"/>
      <w:r>
        <w:rPr>
          <w:rFonts w:ascii="宋体" w:eastAsia="宋体" w:hint="eastAsia"/>
          <w:sz w:val="24"/>
        </w:rPr>
        <w:t>，人民卫生出版社。</w:t>
      </w:r>
    </w:p>
    <w:p w:rsidR="00036078" w:rsidRDefault="00C84FD6">
      <w:pPr>
        <w:spacing w:line="360" w:lineRule="auto"/>
        <w:ind w:firstLine="465"/>
        <w:rPr>
          <w:rFonts w:ascii="宋体" w:eastAsia="宋体"/>
          <w:sz w:val="24"/>
        </w:rPr>
      </w:pPr>
      <w:r>
        <w:rPr>
          <w:rFonts w:ascii="宋体" w:eastAsia="宋体" w:hint="eastAsia"/>
          <w:sz w:val="24"/>
        </w:rPr>
        <w:t>《生物药剂学与药物动力学》（第五版），刘建平主编，人民卫生出版社。</w:t>
      </w:r>
    </w:p>
    <w:p w:rsidR="00036078" w:rsidRDefault="00C84FD6">
      <w:pPr>
        <w:spacing w:line="360" w:lineRule="auto"/>
        <w:ind w:firstLine="465"/>
        <w:rPr>
          <w:rFonts w:ascii="宋体" w:eastAsia="宋体"/>
          <w:sz w:val="24"/>
        </w:rPr>
      </w:pPr>
      <w:r>
        <w:rPr>
          <w:rFonts w:ascii="宋体" w:eastAsia="宋体" w:hint="eastAsia"/>
          <w:sz w:val="24"/>
        </w:rPr>
        <w:t>《生物技术制药》，（第三版），王凤山主编，人民卫生出版社。</w:t>
      </w:r>
    </w:p>
    <w:p w:rsidR="00036078" w:rsidRDefault="00C84FD6">
      <w:pPr>
        <w:spacing w:line="360" w:lineRule="auto"/>
        <w:ind w:firstLine="465"/>
        <w:rPr>
          <w:rFonts w:ascii="宋体" w:eastAsia="宋体"/>
          <w:sz w:val="24"/>
        </w:rPr>
      </w:pPr>
      <w:r>
        <w:rPr>
          <w:rFonts w:ascii="宋体" w:eastAsia="宋体" w:hint="eastAsia"/>
          <w:sz w:val="24"/>
        </w:rPr>
        <w:t>《生药学》（第七版），蔡少青主编，人民卫生出版社。</w:t>
      </w:r>
    </w:p>
    <w:p w:rsidR="00036078" w:rsidRDefault="00C84FD6">
      <w:pPr>
        <w:spacing w:line="360" w:lineRule="auto"/>
        <w:rPr>
          <w:rFonts w:ascii="宋体" w:eastAsia="宋体"/>
          <w:sz w:val="24"/>
        </w:rPr>
      </w:pPr>
      <w:r>
        <w:rPr>
          <w:rFonts w:ascii="宋体" w:eastAsia="宋体" w:hint="eastAsia"/>
          <w:sz w:val="24"/>
        </w:rPr>
        <w:t xml:space="preserve">　　《药物分析》（第八版），</w:t>
      </w:r>
      <w:proofErr w:type="gramStart"/>
      <w:r>
        <w:rPr>
          <w:rFonts w:ascii="宋体" w:eastAsia="宋体" w:hint="eastAsia"/>
          <w:sz w:val="24"/>
        </w:rPr>
        <w:t>杭太俊</w:t>
      </w:r>
      <w:proofErr w:type="gramEnd"/>
      <w:r>
        <w:rPr>
          <w:rFonts w:ascii="宋体" w:eastAsia="宋体" w:hint="eastAsia"/>
          <w:sz w:val="24"/>
        </w:rPr>
        <w:t>主编，人民卫生出版社。</w:t>
      </w:r>
    </w:p>
    <w:p w:rsidR="00036078" w:rsidRDefault="00C84FD6">
      <w:pPr>
        <w:spacing w:line="360" w:lineRule="auto"/>
        <w:rPr>
          <w:rFonts w:ascii="宋体" w:eastAsia="宋体"/>
          <w:sz w:val="24"/>
        </w:rPr>
      </w:pPr>
      <w:r>
        <w:rPr>
          <w:rFonts w:ascii="宋体" w:eastAsia="宋体" w:hint="eastAsia"/>
          <w:sz w:val="24"/>
        </w:rPr>
        <w:t xml:space="preserve">　  《药理学》（第八版），朱依谆主编，人民卫生出版社。</w:t>
      </w:r>
    </w:p>
    <w:p w:rsidR="00036078" w:rsidRDefault="00C84FD6">
      <w:pPr>
        <w:spacing w:line="360" w:lineRule="auto"/>
        <w:rPr>
          <w:rFonts w:ascii="宋体" w:eastAsia="宋体"/>
          <w:sz w:val="24"/>
        </w:rPr>
      </w:pPr>
      <w:r>
        <w:rPr>
          <w:rFonts w:ascii="宋体" w:eastAsia="宋体" w:hint="eastAsia"/>
          <w:sz w:val="24"/>
        </w:rPr>
        <w:t xml:space="preserve">　　《生理学》（第五版），姚泰主编，人民卫生出版社。</w:t>
      </w:r>
    </w:p>
    <w:p w:rsidR="00036078" w:rsidRDefault="00C84FD6">
      <w:pPr>
        <w:spacing w:line="360" w:lineRule="auto"/>
        <w:rPr>
          <w:rFonts w:ascii="宋体" w:eastAsia="宋体"/>
          <w:sz w:val="24"/>
        </w:rPr>
      </w:pPr>
      <w:r>
        <w:rPr>
          <w:rFonts w:ascii="宋体" w:eastAsia="宋体" w:hint="eastAsia"/>
          <w:sz w:val="24"/>
        </w:rPr>
        <w:t xml:space="preserve">　　《工业药物分析》（第三版）</w:t>
      </w:r>
      <w:proofErr w:type="gramStart"/>
      <w:r>
        <w:rPr>
          <w:rFonts w:ascii="宋体" w:eastAsia="宋体" w:hint="eastAsia"/>
          <w:sz w:val="24"/>
        </w:rPr>
        <w:t>贺浪冲</w:t>
      </w:r>
      <w:proofErr w:type="gramEnd"/>
      <w:r>
        <w:rPr>
          <w:rFonts w:ascii="宋体" w:eastAsia="宋体" w:hint="eastAsia"/>
          <w:sz w:val="24"/>
        </w:rPr>
        <w:t>主编，高等教育出版社。</w:t>
      </w:r>
    </w:p>
    <w:p w:rsidR="00036078" w:rsidRDefault="00C84FD6">
      <w:pPr>
        <w:spacing w:line="360" w:lineRule="auto"/>
        <w:rPr>
          <w:rFonts w:ascii="宋体" w:eastAsia="宋体"/>
          <w:sz w:val="24"/>
        </w:rPr>
      </w:pPr>
      <w:r>
        <w:rPr>
          <w:rFonts w:ascii="宋体" w:eastAsia="宋体" w:hint="eastAsia"/>
          <w:sz w:val="24"/>
        </w:rPr>
        <w:t xml:space="preserve">　　《医学免疫学》马春红、孙汶生主编，高等教育出版社。</w:t>
      </w:r>
    </w:p>
    <w:p w:rsidR="00036078" w:rsidRDefault="00036078">
      <w:pPr>
        <w:spacing w:line="360" w:lineRule="auto"/>
        <w:ind w:firstLineChars="200" w:firstLine="480"/>
        <w:rPr>
          <w:rFonts w:ascii="宋体" w:eastAsia="宋体" w:hint="eastAsia"/>
          <w:sz w:val="24"/>
        </w:rPr>
      </w:pPr>
    </w:p>
    <w:p w:rsidR="00A6293B" w:rsidRDefault="00A6293B">
      <w:pPr>
        <w:spacing w:line="360" w:lineRule="auto"/>
        <w:ind w:firstLineChars="200" w:firstLine="480"/>
        <w:rPr>
          <w:rFonts w:ascii="宋体" w:eastAsia="宋体"/>
          <w:sz w:val="24"/>
        </w:rPr>
      </w:pPr>
    </w:p>
    <w:p w:rsidR="00036078" w:rsidRPr="00C84FD6" w:rsidRDefault="00C84FD6" w:rsidP="002A5651">
      <w:pPr>
        <w:pStyle w:val="a3"/>
        <w:spacing w:afterLines="50" w:line="360" w:lineRule="auto"/>
        <w:jc w:val="left"/>
        <w:rPr>
          <w:rFonts w:cs="宋体"/>
          <w:b/>
          <w:sz w:val="24"/>
          <w:szCs w:val="24"/>
        </w:rPr>
      </w:pPr>
      <w:r w:rsidRPr="00C84FD6">
        <w:rPr>
          <w:rFonts w:cs="宋体" w:hint="eastAsia"/>
          <w:b/>
          <w:sz w:val="24"/>
          <w:szCs w:val="24"/>
        </w:rPr>
        <w:t>专业型</w:t>
      </w:r>
    </w:p>
    <w:p w:rsidR="00036078" w:rsidRDefault="00C84FD6">
      <w:pPr>
        <w:spacing w:line="360" w:lineRule="auto"/>
        <w:rPr>
          <w:rFonts w:ascii="宋体" w:eastAsia="宋体"/>
          <w:b/>
          <w:sz w:val="24"/>
        </w:rPr>
      </w:pPr>
      <w:r>
        <w:rPr>
          <w:rFonts w:ascii="宋体" w:eastAsia="宋体" w:hint="eastAsia"/>
          <w:b/>
          <w:sz w:val="24"/>
        </w:rPr>
        <w:t>1.复试方式</w:t>
      </w:r>
    </w:p>
    <w:p w:rsidR="00036078" w:rsidRDefault="00C84FD6">
      <w:pPr>
        <w:spacing w:line="360" w:lineRule="auto"/>
        <w:rPr>
          <w:rFonts w:ascii="宋体" w:eastAsia="宋体"/>
          <w:sz w:val="24"/>
        </w:rPr>
      </w:pPr>
      <w:r>
        <w:rPr>
          <w:rFonts w:ascii="宋体" w:eastAsia="宋体" w:hint="eastAsia"/>
          <w:sz w:val="24"/>
        </w:rPr>
        <w:t xml:space="preserve">　　复试包括专业课笔试、实验技能测试及综合素质面试三部分，重点考查学生的专业基础知识和实验综合能力。笔试时间2小时，满分100分；实验技能测试成绩满分100分；综合素质面试成绩满分100分。</w:t>
      </w:r>
    </w:p>
    <w:p w:rsidR="00036078" w:rsidRDefault="00C84FD6">
      <w:pPr>
        <w:spacing w:line="360" w:lineRule="auto"/>
        <w:rPr>
          <w:rFonts w:ascii="宋体" w:eastAsia="宋体"/>
          <w:sz w:val="24"/>
        </w:rPr>
      </w:pPr>
      <w:r>
        <w:rPr>
          <w:rFonts w:ascii="宋体" w:eastAsia="宋体" w:hint="eastAsia"/>
          <w:sz w:val="24"/>
        </w:rPr>
        <w:t xml:space="preserve">　　复试成绩=（笔试成绩×30%＋面试成绩×30%＋实验技能测试×40%）×95%＋外语听力及口语测试成绩。</w:t>
      </w:r>
    </w:p>
    <w:p w:rsidR="00036078" w:rsidRDefault="00C84FD6">
      <w:pPr>
        <w:spacing w:line="360" w:lineRule="auto"/>
        <w:rPr>
          <w:rFonts w:ascii="宋体" w:eastAsia="宋体"/>
          <w:sz w:val="24"/>
        </w:rPr>
      </w:pPr>
      <w:r>
        <w:rPr>
          <w:rFonts w:ascii="宋体" w:eastAsia="宋体" w:hint="eastAsia"/>
          <w:sz w:val="24"/>
        </w:rPr>
        <w:t xml:space="preserve">　　复试成绩必须达到60分及格线，方能获得录取资格。</w:t>
      </w:r>
    </w:p>
    <w:p w:rsidR="00036078" w:rsidRDefault="00C84FD6">
      <w:pPr>
        <w:spacing w:line="360" w:lineRule="auto"/>
        <w:rPr>
          <w:rFonts w:ascii="宋体" w:eastAsia="宋体"/>
          <w:b/>
          <w:sz w:val="24"/>
        </w:rPr>
      </w:pPr>
      <w:r>
        <w:rPr>
          <w:rFonts w:ascii="宋体" w:eastAsia="宋体" w:hint="eastAsia"/>
          <w:b/>
          <w:sz w:val="24"/>
        </w:rPr>
        <w:t>2.复试笔试科目</w:t>
      </w:r>
    </w:p>
    <w:p w:rsidR="00036078" w:rsidRDefault="00C84FD6">
      <w:pPr>
        <w:spacing w:line="360" w:lineRule="auto"/>
        <w:rPr>
          <w:rFonts w:ascii="宋体" w:eastAsia="宋体"/>
          <w:sz w:val="24"/>
        </w:rPr>
      </w:pPr>
      <w:r>
        <w:rPr>
          <w:rFonts w:ascii="宋体" w:eastAsia="宋体" w:hint="eastAsia"/>
          <w:sz w:val="24"/>
        </w:rPr>
        <w:t>生物与医药：分析化学  《分析化学》（第8版），柴逸峰、邸欣著，人民卫生出版社；</w:t>
      </w:r>
    </w:p>
    <w:p w:rsidR="00036078" w:rsidRDefault="00C84FD6">
      <w:pPr>
        <w:spacing w:line="360" w:lineRule="auto"/>
        <w:rPr>
          <w:rFonts w:ascii="宋体" w:eastAsia="宋体"/>
          <w:sz w:val="24"/>
        </w:rPr>
      </w:pPr>
      <w:r>
        <w:rPr>
          <w:rFonts w:ascii="宋体" w:eastAsia="宋体" w:hint="eastAsia"/>
          <w:sz w:val="24"/>
        </w:rPr>
        <w:t>药学硕士：生物化学  《生物化学》（第8版），姚文兵主编，人民卫生出版社。</w:t>
      </w:r>
    </w:p>
    <w:p w:rsidR="00036078" w:rsidRDefault="00C84FD6">
      <w:pPr>
        <w:spacing w:line="360" w:lineRule="auto"/>
        <w:rPr>
          <w:rFonts w:ascii="宋体" w:eastAsia="宋体"/>
          <w:b/>
          <w:sz w:val="24"/>
        </w:rPr>
      </w:pPr>
      <w:r>
        <w:rPr>
          <w:rFonts w:ascii="宋体" w:eastAsia="宋体" w:hint="eastAsia"/>
          <w:b/>
          <w:sz w:val="24"/>
        </w:rPr>
        <w:t>3.面试内容</w:t>
      </w:r>
    </w:p>
    <w:p w:rsidR="00036078" w:rsidRDefault="00C84FD6">
      <w:pPr>
        <w:spacing w:line="360" w:lineRule="auto"/>
        <w:rPr>
          <w:rFonts w:ascii="宋体" w:eastAsia="宋体"/>
          <w:sz w:val="24"/>
        </w:rPr>
      </w:pPr>
      <w:r>
        <w:rPr>
          <w:rFonts w:ascii="宋体" w:eastAsia="宋体" w:hint="eastAsia"/>
          <w:sz w:val="24"/>
        </w:rPr>
        <w:t>综合素质面试内容与笔试内容侧重面有所不同，由复试小组对考生的基础知识和应用能力进行综合考核，并包括外语口语应用能力的考核。</w:t>
      </w:r>
    </w:p>
    <w:p w:rsidR="00036078" w:rsidRDefault="00C84FD6">
      <w:pPr>
        <w:spacing w:line="360" w:lineRule="auto"/>
        <w:rPr>
          <w:rFonts w:ascii="宋体" w:eastAsia="宋体"/>
          <w:b/>
          <w:sz w:val="24"/>
        </w:rPr>
      </w:pPr>
      <w:r>
        <w:rPr>
          <w:rFonts w:ascii="宋体" w:eastAsia="宋体" w:hint="eastAsia"/>
          <w:b/>
          <w:sz w:val="24"/>
        </w:rPr>
        <w:t>4.实验技能测试</w:t>
      </w:r>
    </w:p>
    <w:p w:rsidR="00036078" w:rsidRDefault="00C84FD6">
      <w:pPr>
        <w:spacing w:line="360" w:lineRule="auto"/>
        <w:rPr>
          <w:rFonts w:ascii="宋体" w:eastAsia="宋体"/>
          <w:sz w:val="24"/>
        </w:rPr>
      </w:pPr>
      <w:r>
        <w:rPr>
          <w:rFonts w:ascii="宋体" w:eastAsia="宋体" w:hint="eastAsia"/>
          <w:sz w:val="24"/>
        </w:rPr>
        <w:t xml:space="preserve">　　实验技能测试由复试小组根据专业培养要求确定考试内容及方式（可以包括笔试和实验操作等环节），重点考核考生的实验设计和实验基本操作能力。</w:t>
      </w:r>
    </w:p>
    <w:p w:rsidR="00036078" w:rsidRDefault="00C84FD6">
      <w:pPr>
        <w:spacing w:line="360" w:lineRule="auto"/>
        <w:rPr>
          <w:rFonts w:ascii="宋体" w:eastAsia="宋体"/>
          <w:b/>
          <w:sz w:val="24"/>
        </w:rPr>
      </w:pPr>
      <w:r>
        <w:rPr>
          <w:rFonts w:ascii="宋体" w:eastAsia="宋体" w:hint="eastAsia"/>
          <w:b/>
          <w:sz w:val="24"/>
        </w:rPr>
        <w:t>5.拟录取排名方法</w:t>
      </w:r>
    </w:p>
    <w:p w:rsidR="00036078" w:rsidRDefault="00C84FD6">
      <w:pPr>
        <w:spacing w:line="360" w:lineRule="auto"/>
        <w:ind w:firstLine="465"/>
        <w:rPr>
          <w:rFonts w:ascii="宋体" w:eastAsia="宋体"/>
          <w:sz w:val="24"/>
        </w:rPr>
      </w:pPr>
      <w:r>
        <w:rPr>
          <w:rFonts w:ascii="宋体" w:eastAsia="宋体" w:hint="eastAsia"/>
          <w:sz w:val="24"/>
        </w:rPr>
        <w:t>（1）首志愿考生，按照专业方向进行复试，根据录取成绩从高到低排名录取。录取成绩=初试成绩÷5×50%＋复试成绩×50%；</w:t>
      </w:r>
    </w:p>
    <w:p w:rsidR="00036078" w:rsidRPr="00C84FD6" w:rsidRDefault="00C84FD6" w:rsidP="00C84FD6">
      <w:pPr>
        <w:spacing w:line="360" w:lineRule="auto"/>
        <w:ind w:firstLineChars="150" w:firstLine="360"/>
        <w:rPr>
          <w:rFonts w:ascii="宋体" w:eastAsia="宋体"/>
          <w:sz w:val="24"/>
        </w:rPr>
      </w:pPr>
      <w:r>
        <w:rPr>
          <w:rFonts w:ascii="宋体" w:eastAsia="宋体" w:hint="eastAsia"/>
          <w:sz w:val="24"/>
        </w:rPr>
        <w:t>（2）录取顺序为：先录取首志愿报考本专业方向的考生，其次录取同一专业学位类型其他专业方向的考生。</w:t>
      </w:r>
    </w:p>
    <w:sectPr w:rsidR="00036078" w:rsidRPr="00C84FD6" w:rsidSect="00031C51">
      <w:pgSz w:w="11906" w:h="16838"/>
      <w:pgMar w:top="1440" w:right="1800" w:bottom="1440" w:left="180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compat>
    <w:spaceForUL/>
    <w:growAutofit/>
    <w:useFELayout/>
    <w:useAltKinsokuLineBreakRules/>
    <w:splitPgBreakAndParaMark/>
  </w:compat>
  <w:rsids>
    <w:rsidRoot w:val="00A456FB"/>
    <w:rsid w:val="000047BF"/>
    <w:rsid w:val="00031C51"/>
    <w:rsid w:val="00036078"/>
    <w:rsid w:val="000420C7"/>
    <w:rsid w:val="00071C37"/>
    <w:rsid w:val="000C4D9D"/>
    <w:rsid w:val="000E1FB7"/>
    <w:rsid w:val="0010459F"/>
    <w:rsid w:val="00105F1E"/>
    <w:rsid w:val="001220F7"/>
    <w:rsid w:val="0014434F"/>
    <w:rsid w:val="001A3F88"/>
    <w:rsid w:val="002115B4"/>
    <w:rsid w:val="00290D45"/>
    <w:rsid w:val="002A5651"/>
    <w:rsid w:val="00316865"/>
    <w:rsid w:val="003357E1"/>
    <w:rsid w:val="00342511"/>
    <w:rsid w:val="0036432A"/>
    <w:rsid w:val="003D3766"/>
    <w:rsid w:val="00445B29"/>
    <w:rsid w:val="004A37FC"/>
    <w:rsid w:val="004B6F8D"/>
    <w:rsid w:val="004F1DF5"/>
    <w:rsid w:val="005018B6"/>
    <w:rsid w:val="005B7B72"/>
    <w:rsid w:val="005C5D9B"/>
    <w:rsid w:val="007D34D1"/>
    <w:rsid w:val="00812E44"/>
    <w:rsid w:val="00843947"/>
    <w:rsid w:val="00865E53"/>
    <w:rsid w:val="008A5FCC"/>
    <w:rsid w:val="008D5873"/>
    <w:rsid w:val="00965729"/>
    <w:rsid w:val="009730FF"/>
    <w:rsid w:val="009B628E"/>
    <w:rsid w:val="009F59BA"/>
    <w:rsid w:val="00A45468"/>
    <w:rsid w:val="00A456FB"/>
    <w:rsid w:val="00A6293B"/>
    <w:rsid w:val="00AA121E"/>
    <w:rsid w:val="00B40229"/>
    <w:rsid w:val="00B463B7"/>
    <w:rsid w:val="00B7330D"/>
    <w:rsid w:val="00BD2029"/>
    <w:rsid w:val="00BE308D"/>
    <w:rsid w:val="00BE37B5"/>
    <w:rsid w:val="00C17BE0"/>
    <w:rsid w:val="00C2558F"/>
    <w:rsid w:val="00C34663"/>
    <w:rsid w:val="00C51B58"/>
    <w:rsid w:val="00C84FD6"/>
    <w:rsid w:val="00D56427"/>
    <w:rsid w:val="00DA483A"/>
    <w:rsid w:val="00E05C54"/>
    <w:rsid w:val="00E30FA1"/>
    <w:rsid w:val="00E76386"/>
    <w:rsid w:val="00EE4623"/>
    <w:rsid w:val="00F7217C"/>
    <w:rsid w:val="00F77563"/>
    <w:rsid w:val="00FB25E7"/>
    <w:rsid w:val="00FD4912"/>
    <w:rsid w:val="0A9A2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semiHidden="0" w:uiPriority="0" w:unhideWhenUsed="0"/>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1C51"/>
    <w:pPr>
      <w:adjustRightInd w:val="0"/>
      <w:snapToGrid w:val="0"/>
    </w:pPr>
    <w:rPr>
      <w:rFonts w:ascii="Tahoma" w:eastAsia="微软雅黑" w:hAnsi="Tahom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1C51"/>
    <w:pPr>
      <w:widowControl w:val="0"/>
      <w:adjustRightInd/>
      <w:snapToGrid/>
      <w:jc w:val="both"/>
    </w:pPr>
    <w:rPr>
      <w:rFonts w:ascii="宋体" w:eastAsia="宋体" w:cs="Courier New"/>
      <w:kern w:val="2"/>
      <w:sz w:val="21"/>
      <w:szCs w:val="21"/>
    </w:rPr>
  </w:style>
  <w:style w:type="paragraph" w:styleId="a4">
    <w:name w:val="Balloon Text"/>
    <w:basedOn w:val="a"/>
    <w:rsid w:val="00031C51"/>
    <w:rPr>
      <w:sz w:val="18"/>
      <w:szCs w:val="18"/>
    </w:rPr>
  </w:style>
  <w:style w:type="paragraph" w:styleId="a5">
    <w:name w:val="footer"/>
    <w:basedOn w:val="a"/>
    <w:rsid w:val="00031C51"/>
    <w:pPr>
      <w:tabs>
        <w:tab w:val="center" w:pos="4153"/>
        <w:tab w:val="right" w:pos="8306"/>
      </w:tabs>
    </w:pPr>
    <w:rPr>
      <w:sz w:val="18"/>
      <w:szCs w:val="18"/>
    </w:rPr>
  </w:style>
  <w:style w:type="paragraph" w:styleId="a6">
    <w:name w:val="header"/>
    <w:basedOn w:val="a"/>
    <w:rsid w:val="00031C51"/>
    <w:pPr>
      <w:pBdr>
        <w:bottom w:val="single" w:sz="6" w:space="1" w:color="auto"/>
      </w:pBdr>
      <w:tabs>
        <w:tab w:val="center" w:pos="4153"/>
        <w:tab w:val="right" w:pos="8306"/>
      </w:tabs>
      <w:jc w:val="center"/>
    </w:pPr>
    <w:rPr>
      <w:sz w:val="18"/>
      <w:szCs w:val="18"/>
    </w:rPr>
  </w:style>
  <w:style w:type="paragraph" w:styleId="a7">
    <w:name w:val="Normal (Web)"/>
    <w:rsid w:val="00031C51"/>
    <w:pPr>
      <w:widowControl w:val="0"/>
      <w:spacing w:before="100" w:beforeAutospacing="1" w:after="100" w:afterAutospacing="1"/>
    </w:pPr>
    <w:rPr>
      <w:rFonts w:ascii="宋体"/>
      <w:kern w:val="2"/>
      <w:sz w:val="24"/>
      <w:szCs w:val="21"/>
    </w:rPr>
  </w:style>
  <w:style w:type="character" w:styleId="a8">
    <w:name w:val="Strong"/>
    <w:rsid w:val="00031C51"/>
    <w:rPr>
      <w:b/>
    </w:rPr>
  </w:style>
  <w:style w:type="paragraph" w:customStyle="1" w:styleId="1">
    <w:name w:val="列出段落1"/>
    <w:next w:val="a4"/>
    <w:qFormat/>
    <w:rsid w:val="00031C51"/>
    <w:pPr>
      <w:widowControl w:val="0"/>
      <w:ind w:firstLineChars="200" w:firstLine="200"/>
      <w:jc w:val="both"/>
    </w:pPr>
    <w:rPr>
      <w:rFonts w:ascii="等线" w:eastAsia="等线"/>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BE89D-BEC6-4657-A92E-05488F88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53</cp:revision>
  <cp:lastPrinted>2019-07-04T09:06:00Z</cp:lastPrinted>
  <dcterms:created xsi:type="dcterms:W3CDTF">2017-10-13T00:35:00Z</dcterms:created>
  <dcterms:modified xsi:type="dcterms:W3CDTF">2019-10-22T06:55:00Z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