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2E2" w:rsidRDefault="004850FE">
      <w:pPr>
        <w:spacing w:afterLines="100" w:after="240"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公共卫生学院硕士生复试方案</w:t>
      </w:r>
    </w:p>
    <w:p w:rsidR="000442E2" w:rsidRPr="004850FE" w:rsidRDefault="004850FE">
      <w:pPr>
        <w:pStyle w:val="a3"/>
        <w:spacing w:line="360" w:lineRule="auto"/>
        <w:rPr>
          <w:rFonts w:cs="宋体"/>
          <w:b/>
          <w:sz w:val="24"/>
          <w:szCs w:val="24"/>
        </w:rPr>
      </w:pPr>
      <w:r w:rsidRPr="004850FE">
        <w:rPr>
          <w:rFonts w:cs="宋体" w:hint="eastAsia"/>
          <w:b/>
          <w:sz w:val="24"/>
          <w:szCs w:val="24"/>
        </w:rPr>
        <w:t>学术型</w:t>
      </w:r>
    </w:p>
    <w:p w:rsidR="000442E2" w:rsidRDefault="004850FE">
      <w:pPr>
        <w:spacing w:line="360" w:lineRule="auto"/>
        <w:rPr>
          <w:rFonts w:ascii="宋体" w:eastAsia="宋体"/>
          <w:sz w:val="24"/>
        </w:rPr>
      </w:pPr>
      <w:r>
        <w:rPr>
          <w:rFonts w:ascii="宋体" w:eastAsia="宋体" w:hint="eastAsia"/>
          <w:b/>
          <w:bCs/>
          <w:sz w:val="24"/>
        </w:rPr>
        <w:t>1.复试方式</w:t>
      </w:r>
    </w:p>
    <w:p w:rsidR="000442E2" w:rsidRDefault="004850FE">
      <w:pPr>
        <w:spacing w:line="360" w:lineRule="auto"/>
        <w:ind w:firstLineChars="50" w:firstLine="120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 xml:space="preserve">　　笔试、面试（含实验操作）相结合，笔试成绩满分200分，含专业课和专业外语，考试时间120分钟。面试成绩满分100分。外语听力成绩占复试成绩的5%。复试成绩＝（笔试成绩＋面试成绩）÷3×95%+外语听力成绩，满分100分。</w:t>
      </w:r>
    </w:p>
    <w:p w:rsidR="000442E2" w:rsidRDefault="004850FE">
      <w:pPr>
        <w:spacing w:line="360" w:lineRule="auto"/>
        <w:ind w:firstLineChars="50" w:firstLine="120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 xml:space="preserve">　　复试笔试科目：</w:t>
      </w:r>
    </w:p>
    <w:p w:rsidR="000442E2" w:rsidRDefault="004850FE">
      <w:pPr>
        <w:spacing w:line="360" w:lineRule="auto"/>
        <w:ind w:firstLineChars="50" w:firstLine="120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 xml:space="preserve">　　专业课100分</w:t>
      </w:r>
    </w:p>
    <w:p w:rsidR="000442E2" w:rsidRDefault="004850FE">
      <w:pPr>
        <w:spacing w:line="360" w:lineRule="auto"/>
        <w:ind w:firstLineChars="50" w:firstLine="120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 xml:space="preserve">　　①社会医学与卫生事业管理专业：</w:t>
      </w:r>
    </w:p>
    <w:p w:rsidR="000442E2" w:rsidRDefault="004850FE">
      <w:pPr>
        <w:spacing w:line="360" w:lineRule="auto"/>
        <w:ind w:firstLineChars="50" w:firstLine="120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 xml:space="preserve">　　医学类考生：预防医学</w:t>
      </w:r>
    </w:p>
    <w:p w:rsidR="000442E2" w:rsidRDefault="004850FE">
      <w:pPr>
        <w:spacing w:line="360" w:lineRule="auto"/>
        <w:ind w:firstLineChars="50" w:firstLine="120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 xml:space="preserve">　　其他类考生：管理学基础</w:t>
      </w:r>
    </w:p>
    <w:p w:rsidR="000442E2" w:rsidRDefault="004850FE">
      <w:pPr>
        <w:spacing w:line="360" w:lineRule="auto"/>
        <w:ind w:firstLineChars="50" w:firstLine="120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 xml:space="preserve">　　②其他专业：</w:t>
      </w:r>
    </w:p>
    <w:p w:rsidR="000442E2" w:rsidRDefault="004850FE">
      <w:pPr>
        <w:spacing w:line="360" w:lineRule="auto"/>
        <w:ind w:firstLineChars="50" w:firstLine="120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 xml:space="preserve">　　流行病学、卫生统计学、基础病毒学等、妇女保健学等、营养与食品卫生学、毒理学基础、职业卫生与职业医学、环境卫生学、仪器分析等</w:t>
      </w:r>
    </w:p>
    <w:p w:rsidR="000442E2" w:rsidRDefault="004850FE">
      <w:pPr>
        <w:spacing w:line="360" w:lineRule="auto"/>
        <w:ind w:firstLineChars="50" w:firstLine="120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 xml:space="preserve">　　专业外语（各专业），100分。</w:t>
      </w:r>
    </w:p>
    <w:p w:rsidR="000442E2" w:rsidRDefault="004850FE">
      <w:pPr>
        <w:spacing w:line="360" w:lineRule="auto"/>
        <w:rPr>
          <w:rFonts w:ascii="宋体" w:eastAsia="宋体"/>
          <w:b/>
          <w:bCs/>
          <w:sz w:val="24"/>
        </w:rPr>
      </w:pPr>
      <w:r>
        <w:rPr>
          <w:rFonts w:ascii="宋体" w:eastAsia="宋体" w:hint="eastAsia"/>
          <w:b/>
          <w:bCs/>
          <w:sz w:val="24"/>
        </w:rPr>
        <w:t>2.面试内容</w:t>
      </w:r>
    </w:p>
    <w:p w:rsidR="000442E2" w:rsidRDefault="004850FE">
      <w:pPr>
        <w:spacing w:line="360" w:lineRule="auto"/>
        <w:ind w:firstLineChars="50" w:firstLine="120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 xml:space="preserve">　　外国语、专业口试（70分）</w:t>
      </w:r>
    </w:p>
    <w:p w:rsidR="000442E2" w:rsidRDefault="004850FE">
      <w:pPr>
        <w:spacing w:line="360" w:lineRule="auto"/>
        <w:ind w:firstLineChars="50" w:firstLine="120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 xml:space="preserve">　　实验技能测试：专业操作（30分）</w:t>
      </w:r>
    </w:p>
    <w:p w:rsidR="000442E2" w:rsidRDefault="004850FE">
      <w:pPr>
        <w:spacing w:line="360" w:lineRule="auto"/>
        <w:rPr>
          <w:rFonts w:ascii="宋体" w:eastAsia="宋体"/>
          <w:b/>
          <w:bCs/>
          <w:sz w:val="24"/>
        </w:rPr>
      </w:pPr>
      <w:r>
        <w:rPr>
          <w:rFonts w:ascii="宋体" w:eastAsia="宋体" w:hint="eastAsia"/>
          <w:b/>
          <w:bCs/>
          <w:sz w:val="24"/>
        </w:rPr>
        <w:t>3.最终成绩计算方法</w:t>
      </w:r>
    </w:p>
    <w:p w:rsidR="000442E2" w:rsidRDefault="004850FE">
      <w:pPr>
        <w:spacing w:line="360" w:lineRule="auto"/>
        <w:ind w:firstLineChars="50" w:firstLine="120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 xml:space="preserve">　　最终成绩=初试成绩÷5×40%+复试成绩×60%</w:t>
      </w:r>
    </w:p>
    <w:p w:rsidR="000442E2" w:rsidRDefault="004850FE">
      <w:pPr>
        <w:spacing w:line="360" w:lineRule="auto"/>
        <w:rPr>
          <w:rFonts w:ascii="宋体" w:eastAsia="宋体"/>
          <w:b/>
          <w:sz w:val="24"/>
        </w:rPr>
      </w:pPr>
      <w:r>
        <w:rPr>
          <w:rFonts w:ascii="宋体" w:eastAsia="宋体" w:hint="eastAsia"/>
          <w:b/>
          <w:sz w:val="24"/>
        </w:rPr>
        <w:t>4.拟录取排名方法</w:t>
      </w:r>
    </w:p>
    <w:p w:rsidR="004850FE" w:rsidRPr="004850FE" w:rsidRDefault="004850FE" w:rsidP="004850FE">
      <w:pPr>
        <w:spacing w:line="360" w:lineRule="auto"/>
        <w:rPr>
          <w:rFonts w:ascii="宋体" w:eastAsia="宋体"/>
          <w:sz w:val="24"/>
        </w:rPr>
      </w:pPr>
      <w:r w:rsidRPr="004850FE">
        <w:rPr>
          <w:rFonts w:ascii="宋体" w:eastAsia="宋体" w:hint="eastAsia"/>
          <w:sz w:val="24"/>
        </w:rPr>
        <w:t>（1）按照招生专业目录中的专业</w:t>
      </w:r>
      <w:r>
        <w:rPr>
          <w:rFonts w:ascii="宋体" w:eastAsia="宋体" w:hint="eastAsia"/>
          <w:sz w:val="24"/>
        </w:rPr>
        <w:t>和方向</w:t>
      </w:r>
      <w:r w:rsidRPr="004850FE">
        <w:rPr>
          <w:rFonts w:ascii="宋体" w:eastAsia="宋体" w:hint="eastAsia"/>
          <w:sz w:val="24"/>
        </w:rPr>
        <w:t>，分专业</w:t>
      </w:r>
      <w:r>
        <w:rPr>
          <w:rFonts w:ascii="宋体" w:eastAsia="宋体" w:hint="eastAsia"/>
          <w:sz w:val="24"/>
        </w:rPr>
        <w:t>、分方向</w:t>
      </w:r>
      <w:r w:rsidRPr="004850FE">
        <w:rPr>
          <w:rFonts w:ascii="宋体" w:eastAsia="宋体" w:hint="eastAsia"/>
          <w:sz w:val="24"/>
        </w:rPr>
        <w:t>按录取成绩排序录取。</w:t>
      </w:r>
    </w:p>
    <w:p w:rsidR="000442E2" w:rsidRDefault="004850FE" w:rsidP="004850FE">
      <w:pPr>
        <w:spacing w:line="360" w:lineRule="auto"/>
        <w:rPr>
          <w:rFonts w:ascii="宋体" w:eastAsia="宋体"/>
          <w:sz w:val="24"/>
        </w:rPr>
      </w:pPr>
      <w:r w:rsidRPr="004850FE">
        <w:rPr>
          <w:rFonts w:ascii="宋体" w:eastAsia="宋体" w:hint="eastAsia"/>
          <w:sz w:val="24"/>
        </w:rPr>
        <w:t>（2）复试录取政策可能会根据报考情况和学校政策进行调整。如有调整，以复试前发布的最新通知为准。</w:t>
      </w:r>
    </w:p>
    <w:p w:rsidR="000442E2" w:rsidRDefault="004850FE">
      <w:pPr>
        <w:spacing w:line="360" w:lineRule="auto"/>
        <w:rPr>
          <w:rFonts w:ascii="宋体" w:eastAsia="宋体"/>
          <w:sz w:val="24"/>
        </w:rPr>
      </w:pPr>
      <w:r>
        <w:rPr>
          <w:rFonts w:ascii="宋体" w:eastAsia="宋体" w:hint="eastAsia"/>
          <w:b/>
          <w:bCs/>
          <w:sz w:val="24"/>
        </w:rPr>
        <w:t>5.复试笔试科目及加试科目参考书目</w:t>
      </w:r>
    </w:p>
    <w:p w:rsidR="000442E2" w:rsidRDefault="004850FE">
      <w:pPr>
        <w:spacing w:line="360" w:lineRule="auto"/>
        <w:ind w:firstLineChars="50" w:firstLine="120"/>
        <w:rPr>
          <w:rFonts w:ascii="宋体" w:eastAsia="宋体"/>
          <w:b/>
          <w:bCs/>
          <w:sz w:val="24"/>
        </w:rPr>
      </w:pPr>
      <w:r>
        <w:rPr>
          <w:rFonts w:ascii="宋体" w:eastAsia="宋体" w:hint="eastAsia"/>
          <w:sz w:val="24"/>
        </w:rPr>
        <w:t>《职业卫生与职业医学》（第七版）（卫生部规划教材，预防医学专业用），孙贵范主编，人民卫生出版社。</w:t>
      </w:r>
    </w:p>
    <w:p w:rsidR="000442E2" w:rsidRDefault="004850FE">
      <w:pPr>
        <w:spacing w:line="360" w:lineRule="auto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lastRenderedPageBreak/>
        <w:t>《环境卫生学》（第七版）（卫生部规划教材，预防医学专业用），杨克敌主编，人民卫生出版社。</w:t>
      </w:r>
    </w:p>
    <w:p w:rsidR="000442E2" w:rsidRDefault="004850FE">
      <w:pPr>
        <w:spacing w:line="360" w:lineRule="auto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《营养与食品卫生学》（第八版）（国家卫生计生委规划教材，供预防医学类专业用），孙长颢主编，人民卫生出版社。</w:t>
      </w:r>
    </w:p>
    <w:p w:rsidR="000442E2" w:rsidRDefault="004850FE">
      <w:pPr>
        <w:spacing w:line="360" w:lineRule="auto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《流行病学》（第八版）（卫生部规划教材，预防医学专业用），詹思延主编，人民卫生出版社出版。</w:t>
      </w:r>
    </w:p>
    <w:p w:rsidR="000442E2" w:rsidRDefault="004850FE">
      <w:pPr>
        <w:spacing w:line="360" w:lineRule="auto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《医学统计学》，山东大学公共卫生学院卫生统计学教研室编写。</w:t>
      </w:r>
    </w:p>
    <w:p w:rsidR="000442E2" w:rsidRDefault="004850FE">
      <w:pPr>
        <w:spacing w:line="360" w:lineRule="auto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《医学统计学》（第八版）（全国高等学校教材、国家卫生与计划生育委员会“十三五”规划教材），李晓松主编，人民卫生出版社。</w:t>
      </w:r>
    </w:p>
    <w:p w:rsidR="000442E2" w:rsidRDefault="004850FE">
      <w:pPr>
        <w:spacing w:line="360" w:lineRule="auto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《仪器分析》（第二版），李磊、高希宝主编，人民卫生出版社；</w:t>
      </w:r>
    </w:p>
    <w:p w:rsidR="000442E2" w:rsidRDefault="004850FE">
      <w:pPr>
        <w:spacing w:line="360" w:lineRule="auto"/>
        <w:ind w:firstLineChars="50" w:firstLine="120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《分析化学》（第二版），毋福海主编，人民卫生出版社；</w:t>
      </w:r>
    </w:p>
    <w:p w:rsidR="000442E2" w:rsidRDefault="004850FE">
      <w:pPr>
        <w:spacing w:line="360" w:lineRule="auto"/>
        <w:ind w:firstLineChars="50" w:firstLine="120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《食品理化检验》（第二版），黎源倩、叶蔚云主编，人民卫生出版社；</w:t>
      </w:r>
    </w:p>
    <w:p w:rsidR="000442E2" w:rsidRDefault="004850FE">
      <w:pPr>
        <w:spacing w:line="360" w:lineRule="auto"/>
        <w:ind w:firstLineChars="50" w:firstLine="120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《水质理化检验》（第二版），康维钧、张翼翔主编，人民卫生出版社；</w:t>
      </w:r>
    </w:p>
    <w:p w:rsidR="000442E2" w:rsidRDefault="004850FE">
      <w:pPr>
        <w:spacing w:line="360" w:lineRule="auto"/>
        <w:ind w:firstLineChars="50" w:firstLine="120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《空气理化检验》（第二版），吕昌银主编，人民卫生出版社；</w:t>
      </w:r>
    </w:p>
    <w:p w:rsidR="000442E2" w:rsidRDefault="004850FE">
      <w:pPr>
        <w:spacing w:line="360" w:lineRule="auto"/>
        <w:ind w:firstLineChars="50" w:firstLine="120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《生物材料检验》（第二版），孙承均主编，人民卫生出版社；。</w:t>
      </w:r>
    </w:p>
    <w:p w:rsidR="000442E2" w:rsidRDefault="004850FE">
      <w:pPr>
        <w:spacing w:line="360" w:lineRule="auto"/>
        <w:ind w:firstLineChars="50" w:firstLine="120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《妇女保健学》（全国高等学校教材），熊庆、吴康敏主编，人民卫生出版社。</w:t>
      </w:r>
    </w:p>
    <w:p w:rsidR="000442E2" w:rsidRDefault="004850FE">
      <w:pPr>
        <w:spacing w:line="360" w:lineRule="auto"/>
        <w:ind w:firstLineChars="50" w:firstLine="120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《儿童少年卫生学》（第七版）（卫生部规划教材，预防医学专业用），季成叶主编，人民卫生出版社。</w:t>
      </w:r>
    </w:p>
    <w:p w:rsidR="000442E2" w:rsidRDefault="004850FE">
      <w:pPr>
        <w:spacing w:line="360" w:lineRule="auto"/>
        <w:ind w:firstLineChars="50" w:firstLine="120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《医学微生物学》（第八版）（卫生部规划教材），李凡主编，人民卫生出版社。</w:t>
      </w:r>
    </w:p>
    <w:p w:rsidR="000442E2" w:rsidRDefault="004850FE">
      <w:pPr>
        <w:spacing w:line="360" w:lineRule="auto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《基础病毒学》，莽克强主编，化学工业出版社。</w:t>
      </w:r>
    </w:p>
    <w:p w:rsidR="000442E2" w:rsidRDefault="004850FE">
      <w:pPr>
        <w:spacing w:line="360" w:lineRule="auto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《病毒学检验》，（第一版）李洪源主编，或（第二版）裴晓芳主编，人民卫生出版社。</w:t>
      </w:r>
    </w:p>
    <w:p w:rsidR="000442E2" w:rsidRDefault="004850FE">
      <w:pPr>
        <w:spacing w:line="360" w:lineRule="auto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《毒理学基础》（第七版）（卫生部规划教材，预防医学专业用），孙志伟主编，人民卫生出版社。</w:t>
      </w:r>
    </w:p>
    <w:p w:rsidR="000442E2" w:rsidRDefault="004850FE">
      <w:pPr>
        <w:spacing w:line="360" w:lineRule="auto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《预防医学》（第六版），傅华主编，人民卫生出版社2013年版。</w:t>
      </w:r>
    </w:p>
    <w:p w:rsidR="000442E2" w:rsidRDefault="004850FE">
      <w:pPr>
        <w:spacing w:line="360" w:lineRule="auto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《管理学基础》，第二版，2013年，人民卫生出版社。</w:t>
      </w:r>
    </w:p>
    <w:p w:rsidR="000442E2" w:rsidRDefault="004850FE">
      <w:pPr>
        <w:spacing w:line="360" w:lineRule="auto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《社会医学》2013年版，人民卫生出版社。</w:t>
      </w:r>
    </w:p>
    <w:p w:rsidR="000442E2" w:rsidRDefault="004850FE">
      <w:pPr>
        <w:spacing w:line="360" w:lineRule="auto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《卫生事业管理学》2013年版，人民卫生出版社。</w:t>
      </w:r>
    </w:p>
    <w:p w:rsidR="000442E2" w:rsidRDefault="000442E2">
      <w:pPr>
        <w:spacing w:line="360" w:lineRule="auto"/>
        <w:rPr>
          <w:rFonts w:cs="宋体"/>
          <w:sz w:val="24"/>
          <w:szCs w:val="24"/>
        </w:rPr>
      </w:pPr>
    </w:p>
    <w:p w:rsidR="000442E2" w:rsidRPr="004850FE" w:rsidRDefault="004850FE" w:rsidP="004850FE">
      <w:pPr>
        <w:pStyle w:val="a3"/>
        <w:spacing w:line="360" w:lineRule="auto"/>
        <w:rPr>
          <w:rFonts w:cs="宋体"/>
          <w:b/>
          <w:sz w:val="24"/>
          <w:szCs w:val="24"/>
        </w:rPr>
      </w:pPr>
      <w:r w:rsidRPr="004850FE">
        <w:rPr>
          <w:rFonts w:cs="宋体" w:hint="eastAsia"/>
          <w:b/>
          <w:sz w:val="24"/>
          <w:szCs w:val="24"/>
        </w:rPr>
        <w:lastRenderedPageBreak/>
        <w:t>专业学位</w:t>
      </w:r>
    </w:p>
    <w:p w:rsidR="000442E2" w:rsidRDefault="004850FE" w:rsidP="004850FE">
      <w:pPr>
        <w:pStyle w:val="a3"/>
        <w:spacing w:line="360" w:lineRule="auto"/>
        <w:jc w:val="left"/>
        <w:rPr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复试要求及录取</w:t>
      </w:r>
    </w:p>
    <w:p w:rsidR="000442E2" w:rsidRPr="004850FE" w:rsidRDefault="004850FE" w:rsidP="004850FE">
      <w:pPr>
        <w:spacing w:line="360" w:lineRule="auto"/>
        <w:ind w:firstLineChars="200" w:firstLine="480"/>
        <w:rPr>
          <w:rFonts w:ascii="宋体" w:eastAsia="宋体"/>
          <w:b/>
          <w:sz w:val="24"/>
        </w:rPr>
      </w:pPr>
      <w:r>
        <w:rPr>
          <w:rFonts w:ascii="宋体" w:eastAsia="宋体" w:hint="eastAsia"/>
          <w:sz w:val="24"/>
        </w:rPr>
        <w:t>具有复试资格的考生，复试前选定专业方向，跟随该专业的学术型考生一起复试，分方向单独排名，单独录取。面试</w:t>
      </w:r>
      <w:r>
        <w:rPr>
          <w:rFonts w:ascii="宋体" w:eastAsia="宋体"/>
          <w:sz w:val="24"/>
        </w:rPr>
        <w:t>内容更注重</w:t>
      </w:r>
      <w:r>
        <w:rPr>
          <w:rFonts w:ascii="宋体" w:eastAsia="宋体" w:hint="eastAsia"/>
          <w:sz w:val="24"/>
        </w:rPr>
        <w:t>公共卫生专业领域实际工作和管理工作能力。复试方式、最终成绩计算方法、拟录取排名方法和复试笔试科目及加试科目参考书目</w:t>
      </w:r>
      <w:r>
        <w:rPr>
          <w:rFonts w:ascii="宋体" w:eastAsia="宋体" w:hint="eastAsia"/>
          <w:b/>
          <w:bCs/>
          <w:sz w:val="24"/>
        </w:rPr>
        <w:t>参见我院学术型复试方案。</w:t>
      </w:r>
    </w:p>
    <w:sectPr w:rsidR="000442E2" w:rsidRPr="004850FE"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57E" w:rsidRDefault="00DC457E" w:rsidP="00386158">
      <w:r>
        <w:separator/>
      </w:r>
    </w:p>
  </w:endnote>
  <w:endnote w:type="continuationSeparator" w:id="0">
    <w:p w:rsidR="00DC457E" w:rsidRDefault="00DC457E" w:rsidP="0038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57E" w:rsidRDefault="00DC457E" w:rsidP="00386158">
      <w:r>
        <w:separator/>
      </w:r>
    </w:p>
  </w:footnote>
  <w:footnote w:type="continuationSeparator" w:id="0">
    <w:p w:rsidR="00DC457E" w:rsidRDefault="00DC457E" w:rsidP="00386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56"/>
  <w:displayHorizont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2"/>
  </w:compat>
  <w:rsids>
    <w:rsidRoot w:val="00815512"/>
    <w:rsid w:val="00003A28"/>
    <w:rsid w:val="000442E2"/>
    <w:rsid w:val="00061764"/>
    <w:rsid w:val="00101206"/>
    <w:rsid w:val="001D57BF"/>
    <w:rsid w:val="001E7560"/>
    <w:rsid w:val="00274B12"/>
    <w:rsid w:val="002A5D8B"/>
    <w:rsid w:val="003002CD"/>
    <w:rsid w:val="00386158"/>
    <w:rsid w:val="003F5DB2"/>
    <w:rsid w:val="004850FE"/>
    <w:rsid w:val="004C47EC"/>
    <w:rsid w:val="00536A3B"/>
    <w:rsid w:val="00552C7B"/>
    <w:rsid w:val="005645B4"/>
    <w:rsid w:val="005B37AF"/>
    <w:rsid w:val="00626698"/>
    <w:rsid w:val="00660D86"/>
    <w:rsid w:val="006674CC"/>
    <w:rsid w:val="006B43A7"/>
    <w:rsid w:val="006C1348"/>
    <w:rsid w:val="006C596D"/>
    <w:rsid w:val="007166EB"/>
    <w:rsid w:val="00735700"/>
    <w:rsid w:val="0074683B"/>
    <w:rsid w:val="007A42D3"/>
    <w:rsid w:val="007B4A89"/>
    <w:rsid w:val="007D3564"/>
    <w:rsid w:val="00815512"/>
    <w:rsid w:val="0082167A"/>
    <w:rsid w:val="00852557"/>
    <w:rsid w:val="0088021D"/>
    <w:rsid w:val="008A5400"/>
    <w:rsid w:val="00901B27"/>
    <w:rsid w:val="009202A4"/>
    <w:rsid w:val="009840F6"/>
    <w:rsid w:val="009908B1"/>
    <w:rsid w:val="00994CBB"/>
    <w:rsid w:val="009A0395"/>
    <w:rsid w:val="009C20A4"/>
    <w:rsid w:val="009F0B5F"/>
    <w:rsid w:val="00A01982"/>
    <w:rsid w:val="00A0588E"/>
    <w:rsid w:val="00A07A3A"/>
    <w:rsid w:val="00A165A5"/>
    <w:rsid w:val="00A622FC"/>
    <w:rsid w:val="00A73B72"/>
    <w:rsid w:val="00AB00AE"/>
    <w:rsid w:val="00B26EE8"/>
    <w:rsid w:val="00B361B1"/>
    <w:rsid w:val="00B607DD"/>
    <w:rsid w:val="00C124F8"/>
    <w:rsid w:val="00C136CA"/>
    <w:rsid w:val="00C240E5"/>
    <w:rsid w:val="00C40237"/>
    <w:rsid w:val="00C5714D"/>
    <w:rsid w:val="00CB41FC"/>
    <w:rsid w:val="00CC373B"/>
    <w:rsid w:val="00DB64C0"/>
    <w:rsid w:val="00DC457E"/>
    <w:rsid w:val="00DC4963"/>
    <w:rsid w:val="00E80824"/>
    <w:rsid w:val="00EF13C4"/>
    <w:rsid w:val="00EF6241"/>
    <w:rsid w:val="00F03C48"/>
    <w:rsid w:val="00F65916"/>
    <w:rsid w:val="00F72421"/>
    <w:rsid w:val="00FB3284"/>
    <w:rsid w:val="1310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4446B82"/>
  <w15:docId w15:val="{6D82A81F-6CCD-4955-A1CB-87332F2B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</w:pPr>
    <w:rPr>
      <w:rFonts w:ascii="Tahoma" w:eastAsia="微软雅黑" w:hAnsi="Tahoma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widowControl w:val="0"/>
      <w:adjustRightInd/>
      <w:snapToGrid/>
      <w:jc w:val="both"/>
    </w:pPr>
    <w:rPr>
      <w:rFonts w:ascii="宋体" w:eastAsia="宋体" w:cs="Courier New"/>
      <w:kern w:val="2"/>
      <w:sz w:val="21"/>
      <w:szCs w:val="21"/>
    </w:rPr>
  </w:style>
  <w:style w:type="paragraph" w:styleId="a5">
    <w:name w:val="Balloon Text"/>
    <w:basedOn w:val="a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8">
    <w:name w:val="Normal (Web)"/>
    <w:pPr>
      <w:widowControl w:val="0"/>
      <w:spacing w:before="100" w:beforeAutospacing="1" w:after="100" w:afterAutospacing="1"/>
    </w:pPr>
    <w:rPr>
      <w:rFonts w:ascii="宋体"/>
      <w:kern w:val="2"/>
      <w:sz w:val="24"/>
      <w:szCs w:val="21"/>
    </w:rPr>
  </w:style>
  <w:style w:type="character" w:styleId="a9">
    <w:name w:val="Strong"/>
    <w:qFormat/>
    <w:rPr>
      <w:b/>
    </w:rPr>
  </w:style>
  <w:style w:type="character" w:customStyle="1" w:styleId="a4">
    <w:name w:val="纯文本 字符"/>
    <w:basedOn w:val="a0"/>
    <w:link w:val="a3"/>
    <w:rPr>
      <w:rFonts w:ascii="宋体" w:hAnsi="Tahoma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D6DD9B-33BF-4481-9A45-3E959187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212</Words>
  <Characters>1215</Characters>
  <Application>Microsoft Office Word</Application>
  <DocSecurity>0</DocSecurity>
  <Lines>10</Lines>
  <Paragraphs>2</Paragraphs>
  <ScaleCrop>false</ScaleCrop>
  <Company>Microsoft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王标</cp:lastModifiedBy>
  <cp:revision>28</cp:revision>
  <cp:lastPrinted>2017-07-12T08:36:00Z</cp:lastPrinted>
  <dcterms:created xsi:type="dcterms:W3CDTF">2017-10-13T00:35:00Z</dcterms:created>
  <dcterms:modified xsi:type="dcterms:W3CDTF">2019-10-16T08:53:00Z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